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B" w:rsidRPr="006C41B9" w:rsidRDefault="00F50A4B" w:rsidP="00F50A4B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6C4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Новинка  от фирмы </w:t>
      </w:r>
      <w:r w:rsidRPr="006C41B9">
        <w:rPr>
          <w:rStyle w:val="b-sticky-panelproduct-name"/>
          <w:color w:val="FF0000"/>
          <w:sz w:val="24"/>
          <w:szCs w:val="24"/>
        </w:rPr>
        <w:t>DRAZICE  плоский  бойлер серии</w:t>
      </w:r>
      <w:r w:rsidRPr="006C41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41B9">
        <w:rPr>
          <w:color w:val="FF0000"/>
          <w:sz w:val="24"/>
          <w:szCs w:val="24"/>
        </w:rPr>
        <w:t>ОКНЕ ONE.</w:t>
      </w:r>
    </w:p>
    <w:p w:rsidR="00F50A4B" w:rsidRPr="006C41B9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41B9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2018 года фирма </w:t>
      </w:r>
      <w:r w:rsidRPr="006C41B9">
        <w:rPr>
          <w:rStyle w:val="b-sticky-panelproduct-name"/>
          <w:sz w:val="24"/>
          <w:szCs w:val="24"/>
        </w:rPr>
        <w:t xml:space="preserve">DRAZICE  выпустила новый плоский водонагреватель  DRAZICE </w:t>
      </w:r>
      <w:proofErr w:type="gramStart"/>
      <w:r w:rsidRPr="006C41B9">
        <w:rPr>
          <w:sz w:val="24"/>
          <w:szCs w:val="24"/>
        </w:rPr>
        <w:t>ОКНЕ</w:t>
      </w:r>
      <w:proofErr w:type="gramEnd"/>
      <w:r w:rsidRPr="006C41B9">
        <w:rPr>
          <w:sz w:val="24"/>
          <w:szCs w:val="24"/>
        </w:rPr>
        <w:t xml:space="preserve"> ONE.</w:t>
      </w:r>
    </w:p>
    <w:p w:rsidR="00F50A4B" w:rsidRPr="006C41B9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B9">
        <w:rPr>
          <w:sz w:val="24"/>
          <w:szCs w:val="24"/>
        </w:rPr>
        <w:t xml:space="preserve">Водонагреватель  накопительный </w:t>
      </w:r>
      <w:proofErr w:type="spellStart"/>
      <w:r w:rsidRPr="006C41B9">
        <w:rPr>
          <w:sz w:val="24"/>
          <w:szCs w:val="24"/>
        </w:rPr>
        <w:t>Дражице</w:t>
      </w:r>
      <w:proofErr w:type="spellEnd"/>
      <w:r w:rsidRPr="006C41B9">
        <w:rPr>
          <w:sz w:val="24"/>
          <w:szCs w:val="24"/>
        </w:rPr>
        <w:t xml:space="preserve"> </w:t>
      </w:r>
      <w:r w:rsidR="00422320" w:rsidRPr="006C41B9">
        <w:rPr>
          <w:sz w:val="24"/>
          <w:szCs w:val="24"/>
        </w:rPr>
        <w:t xml:space="preserve"> </w:t>
      </w:r>
      <w:r w:rsidR="00422320" w:rsidRPr="006C41B9">
        <w:rPr>
          <w:sz w:val="24"/>
          <w:szCs w:val="24"/>
          <w:lang w:val="en-US"/>
        </w:rPr>
        <w:t>DRAZICE</w:t>
      </w:r>
      <w:r w:rsidRPr="006C41B9">
        <w:rPr>
          <w:sz w:val="24"/>
          <w:szCs w:val="24"/>
        </w:rPr>
        <w:t xml:space="preserve"> </w:t>
      </w:r>
      <w:proofErr w:type="gramStart"/>
      <w:r w:rsidRPr="006C41B9">
        <w:rPr>
          <w:sz w:val="24"/>
          <w:szCs w:val="24"/>
        </w:rPr>
        <w:t>ОКНЕ</w:t>
      </w:r>
      <w:proofErr w:type="gramEnd"/>
      <w:r w:rsidRPr="006C41B9">
        <w:rPr>
          <w:sz w:val="24"/>
          <w:szCs w:val="24"/>
        </w:rPr>
        <w:t xml:space="preserve"> ONE с эмалированным  стальным резервуаром имеет плоскую форму. Его глубина всего 300 мм. 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–  от 30,50, 80,100 и 120 литров. Бойлер </w:t>
      </w:r>
      <w:r w:rsidR="00422320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</w:t>
      </w:r>
      <w:r w:rsidR="00422320" w:rsidRPr="006C41B9">
        <w:rPr>
          <w:sz w:val="24"/>
          <w:szCs w:val="24"/>
        </w:rPr>
        <w:t xml:space="preserve"> </w:t>
      </w:r>
      <w:r w:rsidR="00422320" w:rsidRPr="006C41B9">
        <w:rPr>
          <w:sz w:val="24"/>
          <w:szCs w:val="24"/>
          <w:lang w:val="en-US"/>
        </w:rPr>
        <w:t>DRAZICE</w:t>
      </w:r>
      <w:r w:rsidR="00422320" w:rsidRPr="006C41B9">
        <w:rPr>
          <w:sz w:val="24"/>
          <w:szCs w:val="24"/>
        </w:rPr>
        <w:t xml:space="preserve"> ОКНЕ ONE</w:t>
      </w:r>
      <w:r w:rsidR="00422320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прекрасное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для установки в небольших ограниченных помещениях. Благодаря концепции двух емкостей происходит быстрое нагревание воды.</w:t>
      </w:r>
    </w:p>
    <w:p w:rsidR="00F50A4B" w:rsidRPr="006C41B9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ательный элемент смонтирован на фланце, закреплённом на смотровом люке, совместно с магниевым анодом для дополнительной защиты резервуара против коррозии.</w:t>
      </w:r>
      <w:r w:rsidR="00844383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 закрыт стальным внешним кожухом, покрытым белым лаком на порошковой основе. Изоляцией служит слой полиуретановой пены, что помогает снизить потери тепла.</w:t>
      </w:r>
    </w:p>
    <w:p w:rsidR="00F50A4B" w:rsidRPr="006C41B9" w:rsidRDefault="00585ECA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50A4B" w:rsidRPr="006C4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Электрические</w:t>
        </w:r>
      </w:hyperlink>
      <w:r w:rsidR="00F50A4B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накопительные водонагреватели </w:t>
      </w:r>
      <w:r w:rsidR="006C41B9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A4B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навесного монтажа на стену. Расстояние между крепёжными болтами не менялись в течение всего периода существования производства водонагревателей, т.е. отслужившие свой срок изделия могут быть заменены новыми без малейших затруднений.</w:t>
      </w:r>
    </w:p>
    <w:p w:rsidR="00422320" w:rsidRPr="006C41B9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Нагрев воды происходит с помощью керамического нагревательного элемента ("сухой" тэн), управление которым обеспечивается рабочим термостатом, а </w:t>
      </w:r>
      <w:proofErr w:type="spellStart"/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термоэлектро</w:t>
      </w:r>
      <w:proofErr w:type="spellEnd"/>
      <w:r w:rsidR="00422320"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C41B9" w:rsidRPr="006C41B9" w:rsidRDefault="00F50A4B" w:rsidP="006C41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езопасность – предохранительным термостатом (</w:t>
      </w:r>
      <w:proofErr w:type="spellStart"/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термопредохр</w:t>
      </w:r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анителем</w:t>
      </w:r>
      <w:proofErr w:type="spellEnd"/>
      <w:r w:rsidRPr="006C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Диапазон </w:t>
      </w:r>
      <w:r w:rsidRPr="006C41B9">
        <w:rPr>
          <w:rFonts w:ascii="Times New Roman" w:eastAsia="Times New Roman" w:hAnsi="Times New Roman" w:cs="Times New Roman"/>
          <w:lang w:eastAsia="ru-RU"/>
        </w:rPr>
        <w:t xml:space="preserve">допустимых температур – от 5 до 74 °С. Номинальное напряжение – 1-PE–N/AC 230 V/50 </w:t>
      </w:r>
      <w:proofErr w:type="spellStart"/>
      <w:r w:rsidRPr="006C41B9">
        <w:rPr>
          <w:rFonts w:ascii="Times New Roman" w:eastAsia="Times New Roman" w:hAnsi="Times New Roman" w:cs="Times New Roman"/>
          <w:lang w:eastAsia="ru-RU"/>
        </w:rPr>
        <w:t>Hz</w:t>
      </w:r>
      <w:proofErr w:type="spellEnd"/>
      <w:r w:rsidRPr="006C41B9">
        <w:rPr>
          <w:rFonts w:ascii="Times New Roman" w:eastAsia="Times New Roman" w:hAnsi="Times New Roman" w:cs="Times New Roman"/>
          <w:lang w:eastAsia="ru-RU"/>
        </w:rPr>
        <w:t>. Электроизоляционное покрытие IP 44 позволяет монтировать водонагреватель прямо над ванной.</w:t>
      </w:r>
    </w:p>
    <w:p w:rsidR="006C41B9" w:rsidRPr="006C41B9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C41B9">
        <w:rPr>
          <w:rFonts w:ascii="Arial" w:eastAsia="Times New Roman" w:hAnsi="Arial" w:cs="Arial"/>
          <w:lang w:eastAsia="ru-RU"/>
        </w:rPr>
        <w:t>После достижения выбранной температуры нагрев автоматически прекращается. Далее расходуется вода, накопленная в резервуаре. В ёмкости имеется постоянное давление воды из водопровода. При открытом кране горячей воды смесителя вода из нагревателя вытекает под воздействием давления холодной воды из водопровода. Горячая вода вытекает из верхней части, а поступающая вода остаётся в нижней части нагревателя. Напорный принцип позволяет потреблять горячую воду на любом расстоянии от нагревателя.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>РАСХОД ГОРЯЧЕЙ ВОДЫ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 xml:space="preserve">Расход горячей воды зависит от количества  проживающих, количества сантехники, длины, диаметра и изоляции трубопроводов в квартире или доме, а также от индивидуальных привычек пользователей. Самый дешёвый способ нагрева воды </w:t>
      </w:r>
      <w:r>
        <w:rPr>
          <w:rFonts w:ascii="Arial" w:eastAsia="Times New Roman" w:hAnsi="Arial" w:cs="Arial"/>
          <w:lang w:eastAsia="ru-RU"/>
        </w:rPr>
        <w:t>–</w:t>
      </w:r>
      <w:r w:rsidRPr="002F14C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нагрев воды </w:t>
      </w:r>
      <w:r w:rsidRPr="002F14C6">
        <w:rPr>
          <w:rFonts w:ascii="Arial" w:eastAsia="Times New Roman" w:hAnsi="Arial" w:cs="Arial"/>
          <w:lang w:eastAsia="ru-RU"/>
        </w:rPr>
        <w:t>во время сниженного тарифа на электроэнергию.</w:t>
      </w:r>
      <w:r>
        <w:rPr>
          <w:rFonts w:ascii="Arial" w:eastAsia="Times New Roman" w:hAnsi="Arial" w:cs="Arial"/>
          <w:lang w:eastAsia="ru-RU"/>
        </w:rPr>
        <w:t xml:space="preserve"> Как обычно это ночной режим.  Зная</w:t>
      </w:r>
      <w:r w:rsidRPr="002F14C6">
        <w:rPr>
          <w:rFonts w:ascii="Arial" w:eastAsia="Times New Roman" w:hAnsi="Arial" w:cs="Arial"/>
          <w:lang w:eastAsia="ru-RU"/>
        </w:rPr>
        <w:t>, в какие интервалы времени Ваш поставщик электроэнергии предоставляет сниженный тариф и, в зависимости от этого, выберите соответствующий объём нагревателя так, чтобы запас горячей воды</w:t>
      </w:r>
      <w:r>
        <w:rPr>
          <w:rFonts w:ascii="Arial" w:eastAsia="Times New Roman" w:hAnsi="Arial" w:cs="Arial"/>
          <w:lang w:eastAsia="ru-RU"/>
        </w:rPr>
        <w:t>, полученный во время низкого тарифа,</w:t>
      </w:r>
      <w:r w:rsidRPr="002F14C6">
        <w:rPr>
          <w:rFonts w:ascii="Arial" w:eastAsia="Times New Roman" w:hAnsi="Arial" w:cs="Arial"/>
          <w:lang w:eastAsia="ru-RU"/>
        </w:rPr>
        <w:t xml:space="preserve"> покрывал потребление Вашего домашнего хозяйства.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>ЭКОНОМИЯ ЭЛЕКТРОЭНЕРГИИ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 xml:space="preserve">Резервуар для горячей воды изолирован качественной полиуретановой пеной, не содержащей фреонов. </w:t>
      </w:r>
      <w:r>
        <w:rPr>
          <w:rFonts w:ascii="Arial" w:eastAsia="Times New Roman" w:hAnsi="Arial" w:cs="Arial"/>
          <w:lang w:eastAsia="ru-RU"/>
        </w:rPr>
        <w:t xml:space="preserve">Вам нужно установить </w:t>
      </w:r>
      <w:r w:rsidRPr="002F14C6">
        <w:rPr>
          <w:rFonts w:ascii="Arial" w:eastAsia="Times New Roman" w:hAnsi="Arial" w:cs="Arial"/>
          <w:lang w:eastAsia="ru-RU"/>
        </w:rPr>
        <w:t xml:space="preserve"> температуру на термостате водонагревателя только на уровень, который необходим для ведения домашнего хозяйства. Благодаря этому Вы снизите расход электрической энергии, а также количество известкового осадка на стенках резервуара и в гильзе электрического элемента.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>ДЕЖУРНЫЙ РАСХОД ЭЛЕКТРОЭНЕРГИИ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t xml:space="preserve">Даже в случае, если из резервуара не отбирается нагретая вода, происходит </w:t>
      </w:r>
    </w:p>
    <w:p w:rsidR="006C41B9" w:rsidRPr="002F14C6" w:rsidRDefault="006C41B9" w:rsidP="006C41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14C6">
        <w:rPr>
          <w:rFonts w:ascii="Arial" w:eastAsia="Times New Roman" w:hAnsi="Arial" w:cs="Arial"/>
          <w:lang w:eastAsia="ru-RU"/>
        </w:rPr>
        <w:lastRenderedPageBreak/>
        <w:t>определённая небольшая утечка тепла. Эта потеря измеряется в течени</w:t>
      </w:r>
      <w:proofErr w:type="gramStart"/>
      <w:r w:rsidRPr="002F14C6">
        <w:rPr>
          <w:rFonts w:ascii="Arial" w:eastAsia="Times New Roman" w:hAnsi="Arial" w:cs="Arial"/>
          <w:lang w:eastAsia="ru-RU"/>
        </w:rPr>
        <w:t>и</w:t>
      </w:r>
      <w:proofErr w:type="gramEnd"/>
      <w:r w:rsidRPr="002F14C6">
        <w:rPr>
          <w:rFonts w:ascii="Arial" w:eastAsia="Times New Roman" w:hAnsi="Arial" w:cs="Arial"/>
          <w:lang w:eastAsia="ru-RU"/>
        </w:rPr>
        <w:t xml:space="preserve"> 24 часов при температуре 65°C в водонагревателе и 20°C в окружающем его пространстве. Конечное значение приводится в </w:t>
      </w:r>
      <w:proofErr w:type="spellStart"/>
      <w:r w:rsidRPr="002F14C6">
        <w:rPr>
          <w:rFonts w:ascii="Arial" w:eastAsia="Times New Roman" w:hAnsi="Arial" w:cs="Arial"/>
          <w:lang w:eastAsia="ru-RU"/>
        </w:rPr>
        <w:t>кВт·час</w:t>
      </w:r>
      <w:proofErr w:type="spellEnd"/>
      <w:r w:rsidRPr="002F14C6">
        <w:rPr>
          <w:rFonts w:ascii="Arial" w:eastAsia="Times New Roman" w:hAnsi="Arial" w:cs="Arial"/>
          <w:lang w:eastAsia="ru-RU"/>
        </w:rPr>
        <w:t>/24 ч, и означает количество энергии, необходимое для поддержания заданной температуры</w:t>
      </w:r>
    </w:p>
    <w:p w:rsidR="00F50A4B" w:rsidRPr="006C41B9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1B9" w:rsidRPr="006F7D5D" w:rsidRDefault="006C41B9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4B" w:rsidRPr="00F50A4B" w:rsidRDefault="00F50A4B" w:rsidP="00F50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данные</w:t>
      </w:r>
    </w:p>
    <w:tbl>
      <w:tblPr>
        <w:tblW w:w="5000" w:type="pct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1092"/>
        <w:gridCol w:w="1216"/>
        <w:gridCol w:w="1092"/>
        <w:gridCol w:w="1134"/>
        <w:gridCol w:w="1164"/>
      </w:tblGrid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OKHE ONE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OKHE ONE 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OKHE ONE 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OKHE ONE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OKHE ONE 120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[</w:t>
            </w:r>
            <w:proofErr w:type="gram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водонагревателя без воды [</w:t>
            </w:r>
            <w:proofErr w:type="gram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</w:t>
            </w:r>
            <w:proofErr w:type="gram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 [Вт]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нагрева воды </w:t>
            </w:r>
            <w:proofErr w:type="spell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энергией с 10 °C до 60 °C [часов]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предохранитель [A]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IP44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Нагрузочный профиль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расход эл. энергии  [</w:t>
            </w:r>
            <w:proofErr w:type="spell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</w:t>
            </w:r>
            <w:proofErr w:type="gramStart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F50A4B" w:rsidRPr="00F50A4B" w:rsidTr="00F50A4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вода V40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0A4B" w:rsidRPr="00F50A4B" w:rsidRDefault="00F50A4B" w:rsidP="00F5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</w:tbl>
    <w:p w:rsidR="00BE48F6" w:rsidRDefault="00BE48F6" w:rsidP="00F50A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1B9" w:rsidRPr="006D3C6A" w:rsidRDefault="006C41B9" w:rsidP="006C41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3C6A">
        <w:rPr>
          <w:rFonts w:ascii="Arial" w:eastAsia="Times New Roman" w:hAnsi="Arial" w:cs="Arial"/>
          <w:sz w:val="28"/>
          <w:szCs w:val="28"/>
          <w:lang w:eastAsia="ru-RU"/>
        </w:rPr>
        <w:t>КОНСТРУКЦИЯ И ОСНОВНЫЕ РАЗМЕРЫ ВОДОНАГРЕВАТЕЛЯ</w:t>
      </w:r>
    </w:p>
    <w:p w:rsidR="006C41B9" w:rsidRPr="002F14C6" w:rsidRDefault="006C41B9" w:rsidP="006C41B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DD37E" wp14:editId="6DD783A7">
            <wp:extent cx="2190750" cy="3543300"/>
            <wp:effectExtent l="0" t="0" r="0" b="0"/>
            <wp:docPr id="1" name="Рисунок 1" descr="&amp;Scy;&amp;khcy;&amp;iecy;&amp;mcy;&amp;acy; &amp;bcy;&amp;ocy;&amp;jcy;&amp;lcy;&amp;iecy;&amp;rcy;&amp;acy; &amp;ecy;&amp;lcy;&amp;iecy;&amp;kcy;&amp;tcy;&amp;rcy;&amp;icy;&amp;chcy;&amp;iecy;&amp;scy;&amp;kcy;&amp;ocy;&amp;gcy;&amp;ocy; Drazice &amp;Ocy;&amp;Kcy;&amp;Ncy;&amp;IEcy;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 &amp;bcy;&amp;ocy;&amp;jcy;&amp;lcy;&amp;iecy;&amp;rcy;&amp;acy; &amp;ecy;&amp;lcy;&amp;iecy;&amp;kcy;&amp;tcy;&amp;rcy;&amp;icy;&amp;chcy;&amp;iecy;&amp;scy;&amp;kcy;&amp;ocy;&amp;gcy;&amp;ocy; Drazice &amp;Ocy;&amp;Kcy;&amp;Ncy;&amp;IEcy;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4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C41B9" w:rsidRPr="002F14C6" w:rsidRDefault="006C41B9" w:rsidP="006C41B9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6C41B9" w:rsidRPr="00D637BB" w:rsidRDefault="006C41B9" w:rsidP="006C41B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D637B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D6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D637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E299AC" wp14:editId="332E4D00">
            <wp:extent cx="923925" cy="1333500"/>
            <wp:effectExtent l="0" t="0" r="9525" b="0"/>
            <wp:docPr id="2" name="Рисунок 2" descr="OKHE ONE 80">
              <a:hlinkClick xmlns:a="http://schemas.openxmlformats.org/drawingml/2006/main" r:id="rId8" tooltip="&quot;OKHE ONE 8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HE ONE 80">
                      <a:hlinkClick r:id="rId8" tooltip="&quot;OKHE ONE 8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7BB">
        <w:rPr>
          <w:rFonts w:ascii="Arial" w:eastAsia="Times New Roman" w:hAnsi="Arial" w:cs="Arial"/>
          <w:sz w:val="24"/>
          <w:szCs w:val="24"/>
          <w:lang w:eastAsia="ru-RU"/>
        </w:rPr>
        <w:t>Стальной эмалированный резервуар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2.Корпус водонагревателя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3.Полиуретановая изоляция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4.Гильза нагревательного элемента, керамический нагревательный элемент 2000 Вт, OKHE ONE 30 – 1100 Вт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5.Гильза датчика термостата и индикатора температуры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6.Магниевый анод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7.Впускная трубка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8.Крышка электропроводки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9.Индикатор температуры</w:t>
      </w:r>
    </w:p>
    <w:p w:rsidR="006C41B9" w:rsidRPr="00D637BB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10.Рабочий термостат с внешним управлением и защитный предохранитель</w:t>
      </w:r>
    </w:p>
    <w:p w:rsidR="006C41B9" w:rsidRPr="00A14198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37BB">
        <w:rPr>
          <w:rFonts w:ascii="Arial" w:eastAsia="Times New Roman" w:hAnsi="Arial" w:cs="Arial"/>
          <w:sz w:val="24"/>
          <w:szCs w:val="24"/>
          <w:lang w:eastAsia="ru-RU"/>
        </w:rPr>
        <w:t>11.Спускная труба</w:t>
      </w:r>
    </w:p>
    <w:p w:rsidR="006C41B9" w:rsidRPr="006C41B9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1B9" w:rsidRPr="006D3C6A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C6A">
        <w:rPr>
          <w:rFonts w:ascii="Arial" w:eastAsia="Times New Roman" w:hAnsi="Arial" w:cs="Arial"/>
          <w:sz w:val="24"/>
          <w:szCs w:val="24"/>
          <w:lang w:eastAsia="ru-RU"/>
        </w:rPr>
        <w:t xml:space="preserve">Резервуары водонагревателя изготовлены из стального листа и испытаны избыточным давлением 0,9 МПа. Внутренняя поверхность резервуаров эмалирована. В нижнее дно резервуаров запрессован фланец, к которому привинчена крышка </w:t>
      </w:r>
      <w:proofErr w:type="spellStart"/>
      <w:r w:rsidRPr="006D3C6A">
        <w:rPr>
          <w:rFonts w:ascii="Arial" w:eastAsia="Times New Roman" w:hAnsi="Arial" w:cs="Arial"/>
          <w:sz w:val="24"/>
          <w:szCs w:val="24"/>
          <w:lang w:eastAsia="ru-RU"/>
        </w:rPr>
        <w:t>фланца</w:t>
      </w:r>
      <w:proofErr w:type="gramStart"/>
      <w:r w:rsidRPr="006D3C6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D3C6A">
        <w:rPr>
          <w:rFonts w:ascii="Arial" w:eastAsia="Times New Roman" w:hAnsi="Arial" w:cs="Arial"/>
          <w:sz w:val="24"/>
          <w:szCs w:val="24"/>
          <w:lang w:eastAsia="ru-RU"/>
        </w:rPr>
        <w:t>ежду</w:t>
      </w:r>
      <w:proofErr w:type="spellEnd"/>
      <w:r w:rsidRPr="006D3C6A">
        <w:rPr>
          <w:rFonts w:ascii="Arial" w:eastAsia="Times New Roman" w:hAnsi="Arial" w:cs="Arial"/>
          <w:sz w:val="24"/>
          <w:szCs w:val="24"/>
          <w:lang w:eastAsia="ru-RU"/>
        </w:rPr>
        <w:t xml:space="preserve"> крышкой фланца и фланцем вложено </w:t>
      </w:r>
    </w:p>
    <w:p w:rsidR="006C41B9" w:rsidRPr="006D3C6A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3C6A">
        <w:rPr>
          <w:rFonts w:ascii="Arial" w:eastAsia="Times New Roman" w:hAnsi="Arial" w:cs="Arial"/>
          <w:sz w:val="24"/>
          <w:szCs w:val="24"/>
          <w:lang w:eastAsia="ru-RU"/>
        </w:rPr>
        <w:t xml:space="preserve">уплотнительное кольцо. В крышке фланца имеются гильзы для размещения нагревательного элемента, датчиков термостата и защитного предохранителя, и вторая крышка фланца без гильз. На гайке М8 </w:t>
      </w:r>
      <w:proofErr w:type="gramStart"/>
      <w:r w:rsidRPr="006D3C6A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proofErr w:type="gramEnd"/>
      <w:r w:rsidRPr="006D3C6A">
        <w:rPr>
          <w:rFonts w:ascii="Arial" w:eastAsia="Times New Roman" w:hAnsi="Arial" w:cs="Arial"/>
          <w:sz w:val="24"/>
          <w:szCs w:val="24"/>
          <w:lang w:eastAsia="ru-RU"/>
        </w:rPr>
        <w:t xml:space="preserve"> анодный с</w:t>
      </w:r>
    </w:p>
    <w:p w:rsidR="006C41B9" w:rsidRPr="006C41B9" w:rsidRDefault="006C41B9" w:rsidP="006C41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D3C6A">
        <w:rPr>
          <w:rFonts w:ascii="Arial" w:eastAsia="Times New Roman" w:hAnsi="Arial" w:cs="Arial"/>
          <w:sz w:val="24"/>
          <w:szCs w:val="24"/>
          <w:lang w:eastAsia="ru-RU"/>
        </w:rPr>
        <w:t>тержень</w:t>
      </w:r>
      <w:proofErr w:type="spellEnd"/>
      <w:r w:rsidRPr="006D3C6A">
        <w:rPr>
          <w:rFonts w:ascii="Arial" w:eastAsia="Times New Roman" w:hAnsi="Arial" w:cs="Arial"/>
          <w:sz w:val="24"/>
          <w:szCs w:val="24"/>
          <w:lang w:eastAsia="ru-RU"/>
        </w:rPr>
        <w:t>. Электропроводка располагается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1B9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proofErr w:type="gramStart"/>
      <w:r w:rsidRPr="006C41B9">
        <w:rPr>
          <w:rFonts w:ascii="Arial" w:eastAsia="Times New Roman" w:hAnsi="Arial" w:cs="Arial"/>
          <w:sz w:val="24"/>
          <w:szCs w:val="24"/>
          <w:lang w:eastAsia="ru-RU"/>
        </w:rPr>
        <w:t>пластмассовой</w:t>
      </w:r>
      <w:proofErr w:type="gramEnd"/>
      <w:r w:rsidRPr="006C4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1B9" w:rsidRDefault="006C41B9" w:rsidP="00C81C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41B9">
        <w:rPr>
          <w:rFonts w:ascii="Arial" w:eastAsia="Times New Roman" w:hAnsi="Arial" w:cs="Arial"/>
          <w:sz w:val="24"/>
          <w:szCs w:val="24"/>
          <w:lang w:eastAsia="ru-RU"/>
        </w:rPr>
        <w:t xml:space="preserve">съёмной крышкой. </w:t>
      </w:r>
    </w:p>
    <w:p w:rsidR="00C81C14" w:rsidRPr="006C41B9" w:rsidRDefault="00C81C14" w:rsidP="00C81C14">
      <w:pPr>
        <w:spacing w:after="0" w:line="240" w:lineRule="auto"/>
      </w:pPr>
    </w:p>
    <w:p w:rsidR="006C41B9" w:rsidRPr="006C41B9" w:rsidRDefault="006C41B9" w:rsidP="006C41B9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chnické parametry"/>
      </w:tblPr>
      <w:tblGrid>
        <w:gridCol w:w="49"/>
        <w:gridCol w:w="33"/>
        <w:gridCol w:w="2186"/>
        <w:gridCol w:w="2186"/>
        <w:gridCol w:w="2186"/>
        <w:gridCol w:w="2186"/>
        <w:gridCol w:w="30"/>
        <w:gridCol w:w="3688"/>
      </w:tblGrid>
      <w:tr w:rsidR="006C41B9" w:rsidRPr="006C41B9" w:rsidTr="006C41B9">
        <w:trPr>
          <w:gridBefore w:val="1"/>
          <w:gridAfter w:val="1"/>
          <w:wAfter w:w="1849" w:type="dxa"/>
          <w:tblCellSpacing w:w="15" w:type="dxa"/>
        </w:trPr>
        <w:tc>
          <w:tcPr>
            <w:tcW w:w="10433" w:type="dxa"/>
            <w:gridSpan w:val="6"/>
            <w:vAlign w:val="center"/>
            <w:hideMark/>
          </w:tcPr>
          <w:p w:rsidR="006C41B9" w:rsidRPr="006C41B9" w:rsidRDefault="006C41B9" w:rsidP="006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6C41B9" w:rsidRPr="006C41B9" w:rsidTr="006C41B9">
        <w:trPr>
          <w:gridBefore w:val="1"/>
          <w:gridAfter w:val="1"/>
          <w:wAfter w:w="1849" w:type="dxa"/>
          <w:tblCellSpacing w:w="15" w:type="dxa"/>
        </w:trPr>
        <w:tc>
          <w:tcPr>
            <w:tcW w:w="10433" w:type="dxa"/>
            <w:gridSpan w:val="6"/>
            <w:vAlign w:val="center"/>
            <w:hideMark/>
          </w:tcPr>
          <w:p w:rsidR="006C41B9" w:rsidRPr="006C41B9" w:rsidRDefault="006C41B9" w:rsidP="006C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1B9" w:rsidRPr="006C41B9" w:rsidTr="006C41B9">
        <w:trPr>
          <w:gridBefore w:val="1"/>
          <w:gridAfter w:val="1"/>
          <w:wAfter w:w="1849" w:type="dxa"/>
          <w:tblCellSpacing w:w="15" w:type="dxa"/>
        </w:trPr>
        <w:tc>
          <w:tcPr>
            <w:tcW w:w="10433" w:type="dxa"/>
            <w:gridSpan w:val="6"/>
            <w:hideMark/>
          </w:tcPr>
          <w:p w:rsidR="006C41B9" w:rsidRPr="006C41B9" w:rsidRDefault="006C41B9" w:rsidP="006C41B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C41B9" w:rsidRPr="006C41B9" w:rsidRDefault="006C41B9" w:rsidP="006C41B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C41B9" w:rsidRPr="006C41B9" w:rsidRDefault="006C41B9" w:rsidP="006C41B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6C41B9" w:rsidRPr="006C41B9" w:rsidTr="006C41B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C41B9" w:rsidRPr="006C41B9" w:rsidRDefault="006C41B9" w:rsidP="006C4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C41B9" w:rsidRPr="006C41B9" w:rsidRDefault="006C41B9" w:rsidP="006C4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6C41B9" w:rsidRDefault="006C41B9" w:rsidP="006C4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1B9" w:rsidRPr="006C41B9" w:rsidRDefault="006C41B9" w:rsidP="006C41B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41B9" w:rsidRPr="006C41B9" w:rsidRDefault="006C41B9" w:rsidP="006C41B9"/>
        </w:tc>
        <w:tc>
          <w:tcPr>
            <w:tcW w:w="0" w:type="auto"/>
            <w:vAlign w:val="center"/>
          </w:tcPr>
          <w:p w:rsidR="006C41B9" w:rsidRPr="006C41B9" w:rsidRDefault="006C41B9" w:rsidP="006C41B9"/>
        </w:tc>
        <w:tc>
          <w:tcPr>
            <w:tcW w:w="0" w:type="auto"/>
            <w:vAlign w:val="center"/>
          </w:tcPr>
          <w:p w:rsidR="006C41B9" w:rsidRPr="006C41B9" w:rsidRDefault="006C41B9" w:rsidP="006C41B9"/>
        </w:tc>
        <w:tc>
          <w:tcPr>
            <w:tcW w:w="0" w:type="auto"/>
            <w:vAlign w:val="center"/>
          </w:tcPr>
          <w:p w:rsidR="006C41B9" w:rsidRPr="006C41B9" w:rsidRDefault="006C41B9" w:rsidP="006C41B9"/>
        </w:tc>
        <w:tc>
          <w:tcPr>
            <w:tcW w:w="3673" w:type="dxa"/>
            <w:gridSpan w:val="2"/>
            <w:vAlign w:val="center"/>
          </w:tcPr>
          <w:p w:rsidR="006C41B9" w:rsidRPr="006C41B9" w:rsidRDefault="006C41B9" w:rsidP="006C41B9"/>
        </w:tc>
      </w:tr>
    </w:tbl>
    <w:p w:rsidR="006C41B9" w:rsidRPr="006C41B9" w:rsidRDefault="006C41B9" w:rsidP="006C41B9"/>
    <w:p w:rsidR="00F50A4B" w:rsidRDefault="00F50A4B" w:rsidP="006C41B9"/>
    <w:sectPr w:rsidR="00F5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723"/>
    <w:multiLevelType w:val="multilevel"/>
    <w:tmpl w:val="344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81B4A"/>
    <w:multiLevelType w:val="multilevel"/>
    <w:tmpl w:val="226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4B"/>
    <w:rsid w:val="000057B7"/>
    <w:rsid w:val="00007DE2"/>
    <w:rsid w:val="00016B16"/>
    <w:rsid w:val="00022E31"/>
    <w:rsid w:val="000305AB"/>
    <w:rsid w:val="0005720F"/>
    <w:rsid w:val="000C192A"/>
    <w:rsid w:val="000D5952"/>
    <w:rsid w:val="000E61A6"/>
    <w:rsid w:val="000F3EF5"/>
    <w:rsid w:val="00103544"/>
    <w:rsid w:val="0011671D"/>
    <w:rsid w:val="0012764A"/>
    <w:rsid w:val="00140BDB"/>
    <w:rsid w:val="001461A8"/>
    <w:rsid w:val="00150B9A"/>
    <w:rsid w:val="00152BD7"/>
    <w:rsid w:val="00163316"/>
    <w:rsid w:val="00172D57"/>
    <w:rsid w:val="001773DE"/>
    <w:rsid w:val="00177A8B"/>
    <w:rsid w:val="00181646"/>
    <w:rsid w:val="001A6BF0"/>
    <w:rsid w:val="001E09C3"/>
    <w:rsid w:val="001E100C"/>
    <w:rsid w:val="00205FFB"/>
    <w:rsid w:val="0023551D"/>
    <w:rsid w:val="00256B17"/>
    <w:rsid w:val="00270E94"/>
    <w:rsid w:val="00272331"/>
    <w:rsid w:val="002819F3"/>
    <w:rsid w:val="00294CAF"/>
    <w:rsid w:val="002F5EF5"/>
    <w:rsid w:val="003137B2"/>
    <w:rsid w:val="00314108"/>
    <w:rsid w:val="00354FC2"/>
    <w:rsid w:val="00355371"/>
    <w:rsid w:val="00381B47"/>
    <w:rsid w:val="0039354F"/>
    <w:rsid w:val="00393C47"/>
    <w:rsid w:val="00397F8F"/>
    <w:rsid w:val="003A7F42"/>
    <w:rsid w:val="003B335B"/>
    <w:rsid w:val="003B39EF"/>
    <w:rsid w:val="003B5B77"/>
    <w:rsid w:val="003E10D7"/>
    <w:rsid w:val="003E1CB9"/>
    <w:rsid w:val="003E61CC"/>
    <w:rsid w:val="003F15B6"/>
    <w:rsid w:val="003F16FF"/>
    <w:rsid w:val="003F2F46"/>
    <w:rsid w:val="00422320"/>
    <w:rsid w:val="00424407"/>
    <w:rsid w:val="00455637"/>
    <w:rsid w:val="004641E4"/>
    <w:rsid w:val="00483011"/>
    <w:rsid w:val="004979B0"/>
    <w:rsid w:val="004A36A1"/>
    <w:rsid w:val="004B336F"/>
    <w:rsid w:val="004C7398"/>
    <w:rsid w:val="004D5EBF"/>
    <w:rsid w:val="00511D21"/>
    <w:rsid w:val="00512667"/>
    <w:rsid w:val="005241D0"/>
    <w:rsid w:val="00575844"/>
    <w:rsid w:val="00585ECA"/>
    <w:rsid w:val="0059614A"/>
    <w:rsid w:val="005B02F1"/>
    <w:rsid w:val="005B0B3D"/>
    <w:rsid w:val="005E0F06"/>
    <w:rsid w:val="005E1468"/>
    <w:rsid w:val="005E3889"/>
    <w:rsid w:val="00600937"/>
    <w:rsid w:val="0060668C"/>
    <w:rsid w:val="00621156"/>
    <w:rsid w:val="00637218"/>
    <w:rsid w:val="00667B04"/>
    <w:rsid w:val="00672AF5"/>
    <w:rsid w:val="006A2A9B"/>
    <w:rsid w:val="006A3890"/>
    <w:rsid w:val="006B19BA"/>
    <w:rsid w:val="006C37D7"/>
    <w:rsid w:val="006C3CA4"/>
    <w:rsid w:val="006C3F24"/>
    <w:rsid w:val="006C41B9"/>
    <w:rsid w:val="006C4550"/>
    <w:rsid w:val="006E1A53"/>
    <w:rsid w:val="006E2DCC"/>
    <w:rsid w:val="007168D1"/>
    <w:rsid w:val="00716AAF"/>
    <w:rsid w:val="007227A4"/>
    <w:rsid w:val="00737892"/>
    <w:rsid w:val="007400F8"/>
    <w:rsid w:val="00746BBF"/>
    <w:rsid w:val="007569EF"/>
    <w:rsid w:val="00762A24"/>
    <w:rsid w:val="00775130"/>
    <w:rsid w:val="00781173"/>
    <w:rsid w:val="00793F33"/>
    <w:rsid w:val="007A3414"/>
    <w:rsid w:val="007A67DA"/>
    <w:rsid w:val="007E1948"/>
    <w:rsid w:val="00804BA8"/>
    <w:rsid w:val="00824F43"/>
    <w:rsid w:val="0083444D"/>
    <w:rsid w:val="00844383"/>
    <w:rsid w:val="008505DC"/>
    <w:rsid w:val="00861CAA"/>
    <w:rsid w:val="008709F5"/>
    <w:rsid w:val="0087192E"/>
    <w:rsid w:val="008838DF"/>
    <w:rsid w:val="008878FB"/>
    <w:rsid w:val="008A2C47"/>
    <w:rsid w:val="008B21F7"/>
    <w:rsid w:val="008C2893"/>
    <w:rsid w:val="008D73FC"/>
    <w:rsid w:val="008F0E42"/>
    <w:rsid w:val="008F1967"/>
    <w:rsid w:val="009036B5"/>
    <w:rsid w:val="00924D28"/>
    <w:rsid w:val="00927901"/>
    <w:rsid w:val="00960273"/>
    <w:rsid w:val="009713BA"/>
    <w:rsid w:val="009810F0"/>
    <w:rsid w:val="00985040"/>
    <w:rsid w:val="00985390"/>
    <w:rsid w:val="009B7BFF"/>
    <w:rsid w:val="009C6891"/>
    <w:rsid w:val="00A11FC3"/>
    <w:rsid w:val="00A42802"/>
    <w:rsid w:val="00A508C6"/>
    <w:rsid w:val="00A54CCE"/>
    <w:rsid w:val="00A63C93"/>
    <w:rsid w:val="00A70EE7"/>
    <w:rsid w:val="00A72BFD"/>
    <w:rsid w:val="00A742E7"/>
    <w:rsid w:val="00A92C83"/>
    <w:rsid w:val="00AA6911"/>
    <w:rsid w:val="00AB0B9D"/>
    <w:rsid w:val="00AC2EE9"/>
    <w:rsid w:val="00AD16E3"/>
    <w:rsid w:val="00AF1F50"/>
    <w:rsid w:val="00AF7909"/>
    <w:rsid w:val="00B0281F"/>
    <w:rsid w:val="00B646B7"/>
    <w:rsid w:val="00B6675E"/>
    <w:rsid w:val="00B85695"/>
    <w:rsid w:val="00B85E57"/>
    <w:rsid w:val="00BC65EF"/>
    <w:rsid w:val="00BE0D43"/>
    <w:rsid w:val="00BE48F6"/>
    <w:rsid w:val="00C13608"/>
    <w:rsid w:val="00C31E66"/>
    <w:rsid w:val="00C347EC"/>
    <w:rsid w:val="00C3570F"/>
    <w:rsid w:val="00C378CD"/>
    <w:rsid w:val="00C81C14"/>
    <w:rsid w:val="00C82482"/>
    <w:rsid w:val="00CA20A0"/>
    <w:rsid w:val="00CB2E6C"/>
    <w:rsid w:val="00CB4082"/>
    <w:rsid w:val="00CC371B"/>
    <w:rsid w:val="00CF1FE5"/>
    <w:rsid w:val="00D04CA3"/>
    <w:rsid w:val="00D37BEB"/>
    <w:rsid w:val="00D95AF7"/>
    <w:rsid w:val="00DB05B3"/>
    <w:rsid w:val="00DB2D85"/>
    <w:rsid w:val="00DB33A8"/>
    <w:rsid w:val="00DC0794"/>
    <w:rsid w:val="00DC362D"/>
    <w:rsid w:val="00DE028B"/>
    <w:rsid w:val="00DF4FA9"/>
    <w:rsid w:val="00E0434D"/>
    <w:rsid w:val="00E10675"/>
    <w:rsid w:val="00E12AAF"/>
    <w:rsid w:val="00E470D5"/>
    <w:rsid w:val="00E475A0"/>
    <w:rsid w:val="00E47EDB"/>
    <w:rsid w:val="00E84754"/>
    <w:rsid w:val="00E94EFC"/>
    <w:rsid w:val="00EF01B9"/>
    <w:rsid w:val="00EF0F7A"/>
    <w:rsid w:val="00EF7D0D"/>
    <w:rsid w:val="00F029C3"/>
    <w:rsid w:val="00F10D7E"/>
    <w:rsid w:val="00F165CC"/>
    <w:rsid w:val="00F34232"/>
    <w:rsid w:val="00F36F6C"/>
    <w:rsid w:val="00F40927"/>
    <w:rsid w:val="00F50A4B"/>
    <w:rsid w:val="00F60529"/>
    <w:rsid w:val="00F6076D"/>
    <w:rsid w:val="00F704E7"/>
    <w:rsid w:val="00F7524B"/>
    <w:rsid w:val="00FB5E41"/>
    <w:rsid w:val="00FC4D73"/>
    <w:rsid w:val="00FD0324"/>
    <w:rsid w:val="00FD511A"/>
    <w:rsid w:val="00FD6F96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ticky-panelproduct-name">
    <w:name w:val="b-sticky-panel__product-name"/>
    <w:basedOn w:val="a0"/>
    <w:rsid w:val="00F50A4B"/>
  </w:style>
  <w:style w:type="paragraph" w:styleId="a3">
    <w:name w:val="Balloon Text"/>
    <w:basedOn w:val="a"/>
    <w:link w:val="a4"/>
    <w:uiPriority w:val="99"/>
    <w:semiHidden/>
    <w:unhideWhenUsed/>
    <w:rsid w:val="006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ticky-panelproduct-name">
    <w:name w:val="b-sticky-panel__product-name"/>
    <w:basedOn w:val="a0"/>
    <w:rsid w:val="00F50A4B"/>
  </w:style>
  <w:style w:type="paragraph" w:styleId="a3">
    <w:name w:val="Balloon Text"/>
    <w:basedOn w:val="a"/>
    <w:link w:val="a4"/>
    <w:uiPriority w:val="99"/>
    <w:semiHidden/>
    <w:unhideWhenUsed/>
    <w:rsid w:val="006C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d.cz/lang/images/phocagallery/elektricke-ohrivace/thumbs/phoca_thumb_l_ONE%2080_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kotlov.in.ua/g17802135-bojle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2018-06-06T10:59:00Z</dcterms:created>
  <dcterms:modified xsi:type="dcterms:W3CDTF">2018-06-06T13:25:00Z</dcterms:modified>
</cp:coreProperties>
</file>